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pStyle w:val="3"/>
        <w:autoSpaceDE w:val="0"/>
        <w:autoSpaceDN w:val="0"/>
        <w:spacing w:line="540" w:lineRule="exact"/>
        <w:ind w:left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3"/>
        <w:autoSpaceDE w:val="0"/>
        <w:autoSpaceDN w:val="0"/>
        <w:spacing w:line="540" w:lineRule="exact"/>
        <w:ind w:left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重庆市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年“青年爱不艾”</w:t>
      </w:r>
    </w:p>
    <w:p>
      <w:pPr>
        <w:pStyle w:val="3"/>
        <w:autoSpaceDE w:val="0"/>
        <w:autoSpaceDN w:val="0"/>
        <w:spacing w:line="540" w:lineRule="exact"/>
        <w:ind w:left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高校社团参与艾滋病防治宣教项目预算编制及经费使用说明</w:t>
      </w:r>
    </w:p>
    <w:p>
      <w:pPr>
        <w:pStyle w:val="3"/>
        <w:autoSpaceDE w:val="0"/>
        <w:autoSpaceDN w:val="0"/>
        <w:spacing w:line="560" w:lineRule="exact"/>
        <w:ind w:left="0"/>
        <w:jc w:val="center"/>
        <w:rPr>
          <w:rFonts w:hint="default" w:ascii="Times New Roman" w:hAnsi="Times New Roman" w:eastAsia="方正小标宋_GBK" w:cs="Times New Roman"/>
          <w:sz w:val="32"/>
          <w:szCs w:val="32"/>
          <w:highlight w:val="yellow"/>
        </w:rPr>
      </w:pPr>
    </w:p>
    <w:p>
      <w:pPr>
        <w:pStyle w:val="3"/>
        <w:numPr>
          <w:ilvl w:val="0"/>
          <w:numId w:val="1"/>
        </w:num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bidi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bidi="zh-CN"/>
        </w:rPr>
        <w:t>预算编制及经费使用原则</w:t>
      </w:r>
    </w:p>
    <w:p>
      <w:pPr>
        <w:pStyle w:val="3"/>
        <w:autoSpaceDE w:val="0"/>
        <w:autoSpaceDN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（一）合法性：遵守国家法律、法规，符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合项目经费使用管理要求；</w:t>
      </w:r>
    </w:p>
    <w:p>
      <w:pPr>
        <w:pStyle w:val="3"/>
        <w:autoSpaceDE w:val="0"/>
        <w:autoSpaceDN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（二）专款专用：以项目申请书确定的工作目标为依据，全部用于申请书中所规定的活动；</w:t>
      </w:r>
    </w:p>
    <w:p>
      <w:pPr>
        <w:pStyle w:val="3"/>
        <w:autoSpaceDE w:val="0"/>
        <w:autoSpaceDN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（三）经济合理：厉行勤俭节约，严格按照规定的范围和开支标准编制，如活动设计或预算制定不合理可能会导致评审过程中调减预算。</w:t>
      </w:r>
    </w:p>
    <w:p>
      <w:pPr>
        <w:pStyle w:val="3"/>
        <w:numPr>
          <w:ilvl w:val="0"/>
          <w:numId w:val="1"/>
        </w:numPr>
        <w:spacing w:line="560" w:lineRule="exac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bidi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bidi="zh-CN"/>
        </w:rPr>
        <w:t>预算编制及经费使用要求</w:t>
      </w:r>
    </w:p>
    <w:p>
      <w:pPr>
        <w:pStyle w:val="3"/>
        <w:autoSpaceDE w:val="0"/>
        <w:autoSpaceDN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项目活动各类预算需以活动为依据，根据实际工作据实列支。应列明主要活动内容、受益人数、费用种类和标准等。费用标准遵循防艾培育基地“青年爱不艾”项目财务管理规定；如“青年爱不艾”项目财务管理无明确要求，可遵循本校或重庆市财务有关规定；如遵循其他规定，需注明依据来源。支出类别分列如下：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活动费：项目中发生的场地租用、搭建布置、设备租用、餐饮或食品、交通等费用。以参加活动人员数量为基数，整场活动的活动费标准不超过 100 元/人天。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人员劳务费：活动中支付给项目工作人员和志愿者的劳务费用，其中项目工作人员费用标准不超过 100 元/人天、800 元/人月，志愿者费用标准不超过 50 元/人天，400 元/人月；人员劳务费用合计不超过项目总预算50%。在活动中领取劳务费的人员不得重复领取专家咨询费。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专家咨询费：活动中支付给专家的咨询劳务费，其中专家咨询费高级专业技术职称人员不超过 800 元/人天，其他专业技术职称人员不超过 500 元/人天，连续超过两天的，第三天及以后高级专业技术职称人员不超过 400 元/人天，其他专业技术职称人员不超过 300 元/人天；活动如果是半天，专家咨询费应按半天制定预算。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专家讲课费（税后）：中级技术职称专业人员及以下（科级及以下）每学时400元。副高级技术职称专业人员（处级）每学时500元。正高级技术职称专业人员（厅级）每学时1000元。讲课费按实际发生的学时计算，每学时45分钟，每半天最多按4学时计算。同时为多班次一并授课的，不重复计算讲课费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宣传材料费：活动中需要的宣传材料、活动小用品、奖品、安全套、润滑油等费用。宣传材料费不超过总预算的30%。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办公材料费：项目执行过程中购买办公用品、邮电、通讯、打印复印等费用，不超过总预算的5%。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zh-CN"/>
        </w:rPr>
        <w:t>财务托管费：为项目提供资金代管、财务管理发生的费用及开具发票应缴纳的税费，不超过项目总预算的10%，且要严格按以上支出类别列支预算。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7B4F5"/>
    <w:multiLevelType w:val="singleLevel"/>
    <w:tmpl w:val="A9F7B4F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267F1D5"/>
    <w:multiLevelType w:val="singleLevel"/>
    <w:tmpl w:val="5267F1D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ZDAxNzFiM2ZlZWVhMTY3MTg3MGQ5NjRhNDQ3MzkifQ=="/>
  </w:docVars>
  <w:rsids>
    <w:rsidRoot w:val="00000000"/>
    <w:rsid w:val="090569FE"/>
    <w:rsid w:val="10F20D97"/>
    <w:rsid w:val="1F8B6952"/>
    <w:rsid w:val="592C090B"/>
    <w:rsid w:val="61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Body Text"/>
    <w:basedOn w:val="1"/>
    <w:qFormat/>
    <w:uiPriority w:val="0"/>
    <w:pPr>
      <w:ind w:left="758"/>
    </w:pPr>
    <w:rPr>
      <w:rFonts w:ascii="方正仿宋_GBK" w:hAnsi="方正仿宋_GBK" w:eastAsia="方正仿宋_GBK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986</Characters>
  <Lines>0</Lines>
  <Paragraphs>0</Paragraphs>
  <TotalTime>4</TotalTime>
  <ScaleCrop>false</ScaleCrop>
  <LinksUpToDate>false</LinksUpToDate>
  <CharactersWithSpaces>1004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2022-10-20T02:52:00Z</dcterms:created>
  <dc:creator>HP</dc:creator>
  <cp:lastModifiedBy>ANJING</cp:lastModifiedBy>
  <dcterms:modified xsi:type="dcterms:W3CDTF">2022-10-20T06:00:52Z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A443E66866034FE893ED08390ADCC7D4</vt:lpwstr>
  </property>
</Properties>
</file>